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895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sz w:val="50"/>
          <w:szCs w:val="50"/>
        </w:rPr>
        <w:t>21st Century Trust</w:t>
      </w:r>
    </w:p>
    <w:p w14:paraId="0F1C47A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4AF63C4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Asia-Pacific: Economic and Security Scenarios for 2020</w:t>
      </w:r>
    </w:p>
    <w:p w14:paraId="6372F20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Keidanren Conference Centre, near Mt Fuji, Japan, 12-20 May 2000</w:t>
      </w:r>
    </w:p>
    <w:p w14:paraId="4BBC54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130A6CE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Globalization and Its Backlash</w:t>
      </w:r>
    </w:p>
    <w:p w14:paraId="11FFFEB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by Professor Heizo Takenaka</w:t>
      </w:r>
    </w:p>
    <w:p w14:paraId="24DC239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C4E925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D51648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Expanding Frontiers</w:t>
      </w:r>
    </w:p>
    <w:p w14:paraId="1689929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Over the past decade, the world has experienced a succession of dramatic changes.  Politically, the end to East-West cold-war polarity has stirred a move toward a new global order.  Simultaneously, it has also given rise to marked changes in the economic realm as well – most saliently, a massive expansion of the market economy.  Socialist countries, which during the cold war were positioned outside the market economy, began one after another to participate in it over the course of this decade.  The opening of these countries and regions has allowed them an enormous heightening in their potential for market access.  The significance of this trend has been nothing less than a single-stroke expansion of the world’s market “frontiers”.</w:t>
      </w:r>
    </w:p>
    <w:p w14:paraId="36C969A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7E6C10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Over the same decade, the world’s people have also experienced epochal changes in the realm of technology.  Stupendous technological innovation has been spurred around advances in information technology (IT) really expanding the world’s technology frontiers as well.  This IT revolution, as it may be called, is exerting a profound impact on the quality of the expanding market economy and on competitive mechanisms within it.  These changes are, in turn, generating new socioeconomic phenomena.</w:t>
      </w:r>
    </w:p>
    <w:p w14:paraId="1A87D41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7E0C9E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First of all, the economic value now ascribed to networks has, along with technology’s effect of locking in advantage, created a situation in which only a few winners get the lion’s share.  Of the world’s five top industrialists, four are in their 30s or early 40s, constituting a change never before witnessed in the demographics of industrial leaders.  This demonstrates the ease with which the new competitive market can create a widening of economic asymmetry.  The so-called “digital divide” is precisely such a phenomenon, and is becoming ever more pronounced both within and between nations.</w:t>
      </w:r>
    </w:p>
    <w:p w14:paraId="35AD8DD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E262C9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Fundamentally, however, the expansion of the two frontiers of markets and technologies will mean a significant broadening on mankind’s possibilities in the dawning 21st century.</w:t>
      </w:r>
    </w:p>
    <w:p w14:paraId="7988A5D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A5024C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F9F5B6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Overcoming Backlash</w:t>
      </w:r>
    </w:p>
    <w:p w14:paraId="5F8357D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Amidst this setting, bold resistance is being levied against the new currents of globalization and the IT revolution.  At last November’s general meeting of the WTO in Seattle, demonstrations were staged to protest trade liberalization caused chaos.  Though the January meeting of the World Economic Forum at Davos set, with the Seattle experience mind, “fighting complacency” as its theme and announced its intention to address issues of disparity and poverty, it was not able to dissuade the holding of anti-globalization demonstrations.</w:t>
      </w:r>
    </w:p>
    <w:p w14:paraId="4CCD948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5C77BC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Undoubtedly, the pursuit of globalization and of the IT revolution will over the long term yield </w:t>
      </w:r>
      <w:r>
        <w:rPr>
          <w:rFonts w:ascii="Times New Roman" w:hAnsi="Times New Roman" w:cs="Times New Roman"/>
          <w:kern w:val="0"/>
        </w:rPr>
        <w:lastRenderedPageBreak/>
        <w:t>many merits for humankind.  Nevertheless, the benefits and costs of such wide-sweeping movements and trends need to be further elucidated.  This, then, is the time and place to engage anew in a dispassionate examination of both their positive and negative ramifications.</w:t>
      </w:r>
    </w:p>
    <w:p w14:paraId="50E3288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5968A3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Looking back historically, there was a movement to smash the machine during the industrial revolution, which was understandable given the radical degradation in working conditions precipitated by that revolution.  If, however, the smashing of machines had continued unabated, humankind would not have reached the level of prosperity it enjoys today.</w:t>
      </w:r>
    </w:p>
    <w:p w14:paraId="6B419BF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F09958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What is needed now is to obtain an accurate understanding of the merits that can be accrued through the expansion of new market and technology frontiers, while correctly identifying the demerits of such expansion as well.  Having gained a clear perspective of both the pluses and minuses, it will then be essential to devise a strategy for overcoming the negative ramifications.  In preparing policies to implement such a strategy, initiative will need to be taken on various levels, including the governmental, corporate, community and individual levels.  The task at hand is indeed a momentous one.</w:t>
      </w:r>
    </w:p>
    <w:p w14:paraId="3DBAD98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437D65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For the Asia-Pacific Region, which has achieved high rates of economic growth since the 1980s, considering the issue of “globalization and its backlash” should provide excellent food for thought.  On one hand, it can certainly be said that over this period economic globalization has spawned development through higher degrees of interdependence.  On the other hand, the “competition between systems” it produces has exposed the existence of structural problems in the globalization paradigm.  For example, during the region’s monetary/economic crisis, a marked disparity surfaced between global and local standards when it came to politico-economic policies and systems. Considering such issues that occur in this region should provide valuable case studies with application to issues on the global level as well.</w:t>
      </w:r>
    </w:p>
    <w:p w14:paraId="2D26168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93B13DC" w14:textId="77777777" w:rsidR="000000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To take advantage of the opportunities that globalization and the IT revolution offer, while mitigating overreaction to these trends, there is a critical need for thoughtful response and action on the part of today’s young leaders, who will be the world’s next generation of standard-setters and decision-makers.</w:t>
      </w:r>
    </w:p>
    <w:p w14:paraId="5A759817" w14:textId="77777777" w:rsidR="000000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rPr>
      </w:pPr>
    </w:p>
    <w:p w14:paraId="6C589AE5" w14:textId="77777777" w:rsidR="000000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21st Century Trust </w:t>
      </w:r>
    </w:p>
    <w:p w14:paraId="1E3B3CA7" w14:textId="77777777" w:rsidR="00000000" w:rsidRDefault="00000000">
      <w:pPr>
        <w:widowControl w:val="0"/>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after="0" w:line="240" w:lineRule="auto"/>
        <w:jc w:val="both"/>
        <w:rPr>
          <w:rFonts w:ascii="Times New Roman" w:hAnsi="Times New Roman" w:cs="Times New Roman"/>
          <w:kern w:val="0"/>
        </w:rPr>
      </w:pPr>
    </w:p>
    <w:p w14:paraId="61929713" w14:textId="77777777" w:rsidR="00B5127E" w:rsidRDefault="00B5127E">
      <w:pPr>
        <w:widowControl w:val="0"/>
        <w:autoSpaceDE w:val="0"/>
        <w:autoSpaceDN w:val="0"/>
        <w:adjustRightInd w:val="0"/>
        <w:spacing w:after="0" w:line="240" w:lineRule="auto"/>
        <w:jc w:val="both"/>
        <w:rPr>
          <w:rFonts w:ascii="Times New Roman" w:hAnsi="Times New Roman" w:cs="Times New Roman"/>
          <w:kern w:val="0"/>
        </w:rPr>
      </w:pPr>
    </w:p>
    <w:sectPr w:rsidR="00B5127E">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02"/>
    <w:rsid w:val="00726B03"/>
    <w:rsid w:val="008B1F02"/>
    <w:rsid w:val="00B5127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AD74C"/>
  <w14:defaultImageDpi w14:val="0"/>
  <w15:docId w15:val="{A818A249-D297-4CB5-975D-D1AE637F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4556</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Brandstätter</dc:creator>
  <cp:keywords/>
  <dc:description/>
  <cp:lastModifiedBy>Simon Brandstätter</cp:lastModifiedBy>
  <cp:revision>2</cp:revision>
  <dcterms:created xsi:type="dcterms:W3CDTF">2025-11-04T16:17:00Z</dcterms:created>
  <dcterms:modified xsi:type="dcterms:W3CDTF">2025-11-04T16:17:00Z</dcterms:modified>
</cp:coreProperties>
</file>