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6CB5F"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Pr>
          <w:sz w:val="50"/>
          <w:szCs w:val="50"/>
        </w:rPr>
        <w:t>21st Century Trust</w:t>
      </w:r>
    </w:p>
    <w:p w14:paraId="23C4D640"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p>
    <w:p w14:paraId="515C2DD1"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Pr>
          <w:sz w:val="24"/>
          <w:szCs w:val="24"/>
        </w:rPr>
        <w:t>Ending Anarchy: International Rule and Reconstruction after Conflict</w:t>
      </w:r>
    </w:p>
    <w:p w14:paraId="5856793A"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proofErr w:type="spellStart"/>
      <w:r>
        <w:rPr>
          <w:sz w:val="24"/>
          <w:szCs w:val="24"/>
        </w:rPr>
        <w:t>Madingley</w:t>
      </w:r>
      <w:proofErr w:type="spellEnd"/>
      <w:r>
        <w:rPr>
          <w:sz w:val="24"/>
          <w:szCs w:val="24"/>
        </w:rPr>
        <w:t xml:space="preserve"> Hall, Cambridge, 5 – 13 October 2000</w:t>
      </w:r>
    </w:p>
    <w:p w14:paraId="087578CB"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p>
    <w:p w14:paraId="1DA7CB9B"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Pr>
          <w:sz w:val="24"/>
          <w:szCs w:val="24"/>
        </w:rPr>
        <w:t>Introductory Paper</w:t>
      </w:r>
    </w:p>
    <w:p w14:paraId="493AB434"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Pr>
          <w:sz w:val="24"/>
          <w:szCs w:val="24"/>
        </w:rPr>
        <w:t>by Dr Michael Williams</w:t>
      </w:r>
    </w:p>
    <w:p w14:paraId="6C1FFFE3"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p>
    <w:p w14:paraId="22A88EDE"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b/>
          <w:bCs/>
          <w:sz w:val="24"/>
          <w:szCs w:val="24"/>
        </w:rPr>
        <w:t>The Context</w:t>
      </w:r>
    </w:p>
    <w:p w14:paraId="377DA79A"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 xml:space="preserve">The end of the Cold War in 1989 did not bring the universal peace that most hoped for. On the contrary, the decade following has proven to be one of the </w:t>
      </w:r>
      <w:proofErr w:type="gramStart"/>
      <w:r>
        <w:rPr>
          <w:sz w:val="24"/>
          <w:szCs w:val="24"/>
        </w:rPr>
        <w:t>most bloody</w:t>
      </w:r>
      <w:proofErr w:type="gramEnd"/>
      <w:r>
        <w:rPr>
          <w:sz w:val="24"/>
          <w:szCs w:val="24"/>
        </w:rPr>
        <w:t xml:space="preserve"> since that other great historical watermark, 1945. The initial optimism that surrounded the fall of the Berlin Wall and the triumph of democracy in large swathes of the world gave way to a new disorder in the 1990s. Wars in the past decade have been mainly internal.  They have been brutal, claiming an estimated 5 million lives.  They have violated not borders but people.  The civilian, old and young, female and male, and not the soldier, has been the victim.  Humanitarian conventions have been routinely flouted, civilians and aid workers have become strategic targets, and children have been forced to become killers.  Often driven by political ambition or greed, these wars have preyed on ethnic and religious difference, they are frequently sustained by external economic interests, and they are fed by a hyperactive and in large part illicit global arms market.  As the historian Eric Hobsbawm noted in his aptly named, </w:t>
      </w:r>
      <w:r>
        <w:rPr>
          <w:i/>
          <w:iCs/>
          <w:sz w:val="24"/>
          <w:szCs w:val="24"/>
        </w:rPr>
        <w:t xml:space="preserve">The Age of Extremes, </w:t>
      </w:r>
      <w:r>
        <w:rPr>
          <w:sz w:val="24"/>
          <w:szCs w:val="24"/>
        </w:rPr>
        <w:t>the century began and ended in Sarajevo.</w:t>
      </w:r>
      <w:r w:rsidRPr="00BA0532">
        <w:rPr>
          <w:rStyle w:val="Funotenzeichen"/>
          <w:rPrChange w:id="0" w:author="Simon Brandstätter" w:date="2025-11-04T17:15:00Z" w16du:dateUtc="2025-11-04T16:15:00Z">
            <w:rPr>
              <w:sz w:val="24"/>
              <w:szCs w:val="24"/>
              <w:vertAlign w:val="superscript"/>
            </w:rPr>
          </w:rPrChange>
        </w:rPr>
        <w:footnoteReference w:id="1"/>
      </w:r>
    </w:p>
    <w:p w14:paraId="6A938753"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38BB66D3"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 xml:space="preserve">At the same time it is important to remember that, desperate though many of the conflicts of the 1990s were, they did not claim as many victims as some of the major wars of the recent past such as the Korean war of 1950-53, the Vietnam War which raged with breaks for almost three decades, or the Iran/Iraq war of 1981-88.  Moreover, the end of the Cold War has appeared to bring one great historical advance in its wake, namely the end of totalitarianism.  Not only have we seen the demise of communism, but also a notable weakening of dictatorship elsewhere.  In 1998 we witnessed two major transitions away from dictatorship in Nigeria and Indonesia.  Welcome thought these developments have been it is striking that previously totalitarian regimes as markedly different as the Soviet Union, Yugoslavia, Indonesia and Ethiopia have all succumbed to racial and ethnic discord, religious dissent and secessionist movements.  What separates the conflicts of the </w:t>
      </w:r>
      <w:proofErr w:type="spellStart"/>
      <w:r>
        <w:rPr>
          <w:sz w:val="24"/>
          <w:szCs w:val="24"/>
        </w:rPr>
        <w:t>post Cold</w:t>
      </w:r>
      <w:proofErr w:type="spellEnd"/>
      <w:r>
        <w:rPr>
          <w:sz w:val="24"/>
          <w:szCs w:val="24"/>
        </w:rPr>
        <w:t xml:space="preserve"> War world from the preceding period is that for the most part they take place within the confines of the nation state.  Governance has become an issue on the international agenda in a way that it had not been for decades.</w:t>
      </w:r>
    </w:p>
    <w:p w14:paraId="0864872B"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13A24049"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sectPr w:rsidR="00000000">
          <w:pgSz w:w="11910" w:h="16831"/>
          <w:pgMar w:top="720" w:right="1440" w:bottom="1134" w:left="1440" w:header="720" w:footer="720" w:gutter="0"/>
          <w:cols w:space="720"/>
          <w:noEndnote/>
        </w:sectPr>
      </w:pPr>
      <w:r>
        <w:rPr>
          <w:sz w:val="24"/>
          <w:szCs w:val="24"/>
        </w:rPr>
        <w:t xml:space="preserve">The end of the Cold War transformed the ability of the Security Council to act on the many challenges to international peace.  In the first place it set to work, with some considerable enthusiasm, to tackle the detritus of more than four decades of superpower conflict.  The new era was marked by Boutros-Boutros Ghali’s </w:t>
      </w:r>
      <w:r>
        <w:rPr>
          <w:i/>
          <w:iCs/>
          <w:sz w:val="24"/>
          <w:szCs w:val="24"/>
        </w:rPr>
        <w:t xml:space="preserve">Agenda for Peace </w:t>
      </w:r>
      <w:r>
        <w:rPr>
          <w:sz w:val="24"/>
          <w:szCs w:val="24"/>
        </w:rPr>
        <w:t>written in 1992.</w:t>
      </w:r>
      <w:r w:rsidRPr="00BA0532">
        <w:rPr>
          <w:rStyle w:val="Funotenzeichen"/>
          <w:rPrChange w:id="2" w:author="Simon Brandstätter" w:date="2025-11-04T17:15:00Z" w16du:dateUtc="2025-11-04T16:15:00Z">
            <w:rPr>
              <w:sz w:val="24"/>
              <w:szCs w:val="24"/>
              <w:vertAlign w:val="superscript"/>
            </w:rPr>
          </w:rPrChange>
        </w:rPr>
        <w:footnoteReference w:id="2"/>
      </w:r>
    </w:p>
    <w:p w14:paraId="5288E4D2"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lastRenderedPageBreak/>
        <w:t xml:space="preserve">  A whole raft of conflicts with indigenous roots had been fuelled for decades by the rivalry between Moscow and Washington.  Suddenly, with the end of the Cold War conflicts in such diverse countries as Cambodia, El Salvador and Mozambique proved amenable to negotiation and resolution.  The United Nations responded by marrying traditional UN peacekeeping with peacebuilding in complex peace operations deployed into settings of intrastate conflict.  The UN has had to cope with these new conflicts often with thoroughly inadequate resources and, as time went by, without the wholehearted support of the Security Council.   The results in the 1990s were mixed with the UN meeting with success in Namibia, Mozambique, and El Salvador and, at least partially, in Cambodia.  Elsewhere, operations in Bosnia, Rwanda and Somalia failed to meet expectations, often ending in the most distressing circumstances. </w:t>
      </w:r>
    </w:p>
    <w:p w14:paraId="68BF1DE2"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06EA5FE4"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 xml:space="preserve">This setback to peacekeeping was, however, only temporary.  Increasingly, post Dayton, peacekeeping operations at least in Europe involved NATO forces with the UN tasked with the implementation of peace agreements and assistance to local administrations.  Elsewhere there was a tendency for other regional organisations such as the OSCE, OAS, ECOWAS and others to get involved raising questions as to their relationship with the UN.  The UN was not a natural contender to take on direct governance given its mixed record in peacekeeping.  But as events in Kosovo and East Timor were to show at the end of the decade, there was no other alternative.  In the face of massive human rights violations, displacement of tens of thousands of people because of their ethnic or religious background, the world could not stand idly by.  Indeed, the passivity the international community had shown over the Srebrenica massacre of </w:t>
      </w:r>
      <w:proofErr w:type="gramStart"/>
      <w:r>
        <w:rPr>
          <w:sz w:val="24"/>
          <w:szCs w:val="24"/>
        </w:rPr>
        <w:t>1994</w:t>
      </w:r>
      <w:proofErr w:type="gramEnd"/>
      <w:r>
        <w:rPr>
          <w:sz w:val="24"/>
          <w:szCs w:val="24"/>
        </w:rPr>
        <w:t xml:space="preserve"> and the Rwandan genocide of the previous year spurred many governments to seek to do more.</w:t>
      </w:r>
    </w:p>
    <w:p w14:paraId="686D59CF"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461B4BF1"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203D2C0D"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b/>
          <w:bCs/>
          <w:sz w:val="24"/>
          <w:szCs w:val="24"/>
        </w:rPr>
        <w:t>Historical Background</w:t>
      </w:r>
    </w:p>
    <w:p w14:paraId="65CFBDD8"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 xml:space="preserve">Experience in dealing with </w:t>
      </w:r>
      <w:proofErr w:type="spellStart"/>
      <w:r>
        <w:rPr>
          <w:sz w:val="24"/>
          <w:szCs w:val="24"/>
        </w:rPr>
        <w:t>post Cold</w:t>
      </w:r>
      <w:proofErr w:type="spellEnd"/>
      <w:r>
        <w:rPr>
          <w:sz w:val="24"/>
          <w:szCs w:val="24"/>
        </w:rPr>
        <w:t xml:space="preserve"> War conflicts underlined the difficulty in helping states or territories emerging from civil conflict to make the transition to a normal society.  This was not an entirely new phenomenon.  There had been instances earlier in the century.  Fascinatingly, one of the earliest examples was in the Balkans before the First World War where an International Control Commission and an offshore naval force guaranteed the independence of Albania.</w:t>
      </w:r>
      <w:r w:rsidRPr="00BA0532">
        <w:rPr>
          <w:rStyle w:val="Funotenzeichen"/>
          <w:rPrChange w:id="4" w:author="Simon Brandstätter" w:date="2025-11-04T17:15:00Z" w16du:dateUtc="2025-11-04T16:15:00Z">
            <w:rPr>
              <w:sz w:val="24"/>
              <w:szCs w:val="24"/>
              <w:vertAlign w:val="superscript"/>
            </w:rPr>
          </w:rPrChange>
        </w:rPr>
        <w:footnoteReference w:id="3"/>
      </w:r>
      <w:r>
        <w:rPr>
          <w:sz w:val="24"/>
          <w:szCs w:val="24"/>
        </w:rPr>
        <w:t xml:space="preserve">  After the First World War the question of governance of the former German colonial territories in Africa and the Pacific was neatly solved by handing them over to other colonial powers such as Britain, France, Japan and Australia but with the proviso that they were mandated to govern those territories by the League of Nations created in 1920.  Whereas the pre-war arrangement for Albania had been an </w:t>
      </w:r>
      <w:r>
        <w:rPr>
          <w:i/>
          <w:iCs/>
          <w:sz w:val="24"/>
          <w:szCs w:val="24"/>
        </w:rPr>
        <w:t>ad hoc</w:t>
      </w:r>
      <w:r>
        <w:rPr>
          <w:sz w:val="24"/>
          <w:szCs w:val="24"/>
        </w:rPr>
        <w:t xml:space="preserve"> affair, now for the first time an international organisation was, at least indirectly, involved.  Most interestingly, for our discussion, the League itself took over the administration of the disputed Saarland between France and Germany and governed it for a fifteen-year period from 1920 to 1935.</w:t>
      </w:r>
    </w:p>
    <w:p w14:paraId="6DB3007A"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07262F93"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 xml:space="preserve">After the Second World War the complete collapse of the Axis powers - Germany, Italy and Japan - raised the question not only of who was to govern the former colonial territories of Japan and </w:t>
      </w:r>
      <w:proofErr w:type="gramStart"/>
      <w:r>
        <w:rPr>
          <w:sz w:val="24"/>
          <w:szCs w:val="24"/>
        </w:rPr>
        <w:t>Italy, but</w:t>
      </w:r>
      <w:proofErr w:type="gramEnd"/>
      <w:r>
        <w:rPr>
          <w:sz w:val="24"/>
          <w:szCs w:val="24"/>
        </w:rPr>
        <w:t xml:space="preserve"> also given the unconditional surrender of Germany and Japan, who was to govern those two countries in the absence of national governments.  The Charter of the United Nations allowed for what was called a Trusteeship Council in its Chapter XIII and </w:t>
      </w:r>
      <w:proofErr w:type="gramStart"/>
      <w:r>
        <w:rPr>
          <w:sz w:val="24"/>
          <w:szCs w:val="24"/>
        </w:rPr>
        <w:t>a number of</w:t>
      </w:r>
      <w:proofErr w:type="gramEnd"/>
      <w:r>
        <w:rPr>
          <w:sz w:val="24"/>
          <w:szCs w:val="24"/>
        </w:rPr>
        <w:t xml:space="preserve"> the former Axis colonies such as Eritrea, Italian Somaliland, Libya and Japanese administered islands in the Pacific became UN trusteeship territories.  But the administering authority was not the UN itself but powers such as the UK and the United States.  It was only with the independence of Palau in 1994 that the Trusteeship Council effectively went into abeyance.  Whether the Trusteeship Council should have a future is perhaps another </w:t>
      </w:r>
      <w:r>
        <w:rPr>
          <w:sz w:val="24"/>
          <w:szCs w:val="24"/>
        </w:rPr>
        <w:lastRenderedPageBreak/>
        <w:t>question which we should touch on this week.</w:t>
      </w:r>
    </w:p>
    <w:p w14:paraId="5EFBD991"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7ED66E3B"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 xml:space="preserve">For Germany and Japan, the Allies effectively allowed no role for the UN but imposed direct military rule.  In the case of </w:t>
      </w:r>
      <w:proofErr w:type="gramStart"/>
      <w:r>
        <w:rPr>
          <w:sz w:val="24"/>
          <w:szCs w:val="24"/>
        </w:rPr>
        <w:t>Germany</w:t>
      </w:r>
      <w:proofErr w:type="gramEnd"/>
      <w:r>
        <w:rPr>
          <w:sz w:val="24"/>
          <w:szCs w:val="24"/>
        </w:rPr>
        <w:t xml:space="preserve"> the defeated power was divided into four zones administered respectively by the United States, Great Britain, France and the Soviet Union.  Here the Allies exercised complete control over the administration and economy holding total power in their hands. In this way they set about creating new States in their own image - a West Germany that in 1949 brought together the three Western zones, and in the East the so-called German Democratic Republic.  Japan was placed under direct US military occupation with the occupying power writing the country’s new constitution.  The post-war administration of Germany and Japan, while representing the most drastic form of military governance, do offer several interesting facets for latter day models of international governance.</w:t>
      </w:r>
    </w:p>
    <w:p w14:paraId="034FD67B"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28E3E8B4"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 xml:space="preserve">In the early 1960s the international order established after the Second World War underwent dramatic revision with the decolonisation of first Asia and then Africa.  This led to a rapid expansion in UN membership.  Inevitably, the transition to independence was not smooth </w:t>
      </w:r>
      <w:proofErr w:type="gramStart"/>
      <w:r>
        <w:rPr>
          <w:sz w:val="24"/>
          <w:szCs w:val="24"/>
        </w:rPr>
        <w:t>and in some cases</w:t>
      </w:r>
      <w:proofErr w:type="gramEnd"/>
      <w:r>
        <w:rPr>
          <w:sz w:val="24"/>
          <w:szCs w:val="24"/>
        </w:rPr>
        <w:t xml:space="preserve"> achieved only after ferocious anti-colonial struggles such as that in Algeria between 1954-62.  From the viewpoint of this conference two developments stand out - the operation of UNTEA in Dutch West New Guinea  (later incorporated into Indonesia as the province of Irian Jaya) and the UN mission in the former Belgian Congo (ONUC).</w:t>
      </w:r>
      <w:r w:rsidRPr="00BA0532">
        <w:rPr>
          <w:rStyle w:val="Funotenzeichen"/>
          <w:rPrChange w:id="6" w:author="Simon Brandstätter" w:date="2025-11-04T17:15:00Z" w16du:dateUtc="2025-11-04T16:15:00Z">
            <w:rPr>
              <w:sz w:val="24"/>
              <w:szCs w:val="24"/>
              <w:vertAlign w:val="superscript"/>
            </w:rPr>
          </w:rPrChange>
        </w:rPr>
        <w:footnoteReference w:id="4"/>
      </w:r>
      <w:r>
        <w:rPr>
          <w:sz w:val="24"/>
          <w:szCs w:val="24"/>
        </w:rPr>
        <w:t xml:space="preserve">  UNTEA - the UN Temporary Executive Authority supervised the decolonisation of West New Guinea and its transfer to Indonesian rule in a seven-month period between 1962 and 1963.  The UN Administrator, albeit for a relatively short period, effectively held exclusive authority over the territory.  It was the first time the UN had done this. </w:t>
      </w:r>
    </w:p>
    <w:p w14:paraId="4A6307D3"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5430109A"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 xml:space="preserve">In one sense, ONUC was far more ambitious than UNTEA with 20,000 soldiers at its disposal and two thousand civilian officials and experts.  They were there to assist the fragile authority of the infant Congolese Republic. It was the first time that a peacekeeping force was to be deployed </w:t>
      </w:r>
      <w:proofErr w:type="gramStart"/>
      <w:r>
        <w:rPr>
          <w:sz w:val="24"/>
          <w:szCs w:val="24"/>
        </w:rPr>
        <w:t>in the midst of</w:t>
      </w:r>
      <w:proofErr w:type="gramEnd"/>
      <w:r>
        <w:rPr>
          <w:sz w:val="24"/>
          <w:szCs w:val="24"/>
        </w:rPr>
        <w:t xml:space="preserve"> a disintegrating central authority, a continuing war and secessionist movements.  As such it was a powerful warning of the circumstances that UN missions were to frequently find themselves in three decades later.  At various times in the four years of its operations between 1960 and 1964 ONUC found itself forced to disarm militias, prevent the secession of Katanga, assist the reorganisation of national forces and expel foreign mercenaries.  The UN emerged from the experience badly scathed and was to mount no similar operations for a quarter of a century.</w:t>
      </w:r>
    </w:p>
    <w:p w14:paraId="52F9D3D0"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553FB3AB"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07DC908D"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b/>
          <w:bCs/>
          <w:sz w:val="24"/>
          <w:szCs w:val="24"/>
        </w:rPr>
        <w:t>Post Cold War Developments</w:t>
      </w:r>
    </w:p>
    <w:p w14:paraId="33A21424"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The end of the Cold War brought with it the emergence of a host of new states out of the ruins of the former Soviet Union and Yugoslavia.  At the same time there was a new willingness in the Security Council to address conflicts within states and to challenge the long-standing shibboleth of national sovereignty.  These circumstances led to what has oft been termed a second generation of peacekeeping.  These operations were intrusive, and their ambitious political mandates paid less attention to national sovereignty than had been the case in ‘traditional’ peacekeeping operations.   They set out not to police cease-fires but to settle conflicts and to give assistance to interim civil authorities as in Namibia (UNTAG, 1989-90), Cambodia (UNTAC, 1992-3) and El Salvador (ONUSAL, 1991-95).</w:t>
      </w:r>
    </w:p>
    <w:p w14:paraId="6BEB7547"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42FF1A95"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 xml:space="preserve">UNTAG supervised the withdrawal of South African forces, the return of refugees and the supervision of free and fair elections.  An independent Namibia joined the UN in 1990.  </w:t>
      </w:r>
      <w:r>
        <w:rPr>
          <w:sz w:val="24"/>
          <w:szCs w:val="24"/>
        </w:rPr>
        <w:lastRenderedPageBreak/>
        <w:t xml:space="preserve">With eight thousand personnel, the operation’s success was due in no small measure to strong support from the Security Council, a clear final objective (elections) and credible and strong leadership from the Special Representative of the Secretary-General (SRSG) Martti Ahtisaari.   By contrast, ONUSAL was a much smaller mission with just over a thousand staff charged with verifying the implementation of agreements that had been signed at the end of El Salvador's </w:t>
      </w:r>
      <w:proofErr w:type="gramStart"/>
      <w:r>
        <w:rPr>
          <w:sz w:val="24"/>
          <w:szCs w:val="24"/>
        </w:rPr>
        <w:t>ten year</w:t>
      </w:r>
      <w:proofErr w:type="gramEnd"/>
      <w:r>
        <w:rPr>
          <w:sz w:val="24"/>
          <w:szCs w:val="24"/>
        </w:rPr>
        <w:t xml:space="preserve"> civil war.  This included creating a new police force, reforming the judicial and electoral systems, human rights and land reform.</w:t>
      </w:r>
    </w:p>
    <w:p w14:paraId="4FAB8E49"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037E5D4A"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The deployment of the largest UN peacekeeping operation in Cambodia in 1992 after more than two decades of internal conflict and war in that country was a new departure for the organisation as evident in its very name - the UN Transitional Authority in Cambodia.  Its mandate stemmed from the Paris Peace Agreements of October 1991.  With more than 22,000 personnel the mission’s mandate involved the supervision of elections, the return of refugees, the promotion and protection of human rights and the supervision of the ministries of the central government in Phnom Penh.  It also played a major role in the economic rejuvenation and reconstruction of Cambodia.  In carrying out these tasks the UN found itself confronted by many of the difficulties it would face in later years in Kosovo and East Timor.</w:t>
      </w:r>
    </w:p>
    <w:p w14:paraId="21CDA066"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688F2B97"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The relative success of UN peacekeeping missions in Namibia, El Salvador, Cambodia and Mozambique (ONUMOZ) in the early 1990s was overshadowed by the failures of the mid-90s - Somalia, Bosnia and Rwanda.  The brave new world of UN peacekeeping no longer seemed able to cope when confronted by the likes of Mohammed Aideed, Radovan Karadzic and murderous Hutu militia.</w:t>
      </w:r>
      <w:r w:rsidRPr="00BA0532">
        <w:rPr>
          <w:rStyle w:val="Funotenzeichen"/>
          <w:rPrChange w:id="8" w:author="Simon Brandstätter" w:date="2025-11-04T17:15:00Z" w16du:dateUtc="2025-11-04T16:15:00Z">
            <w:rPr>
              <w:sz w:val="24"/>
              <w:szCs w:val="24"/>
              <w:vertAlign w:val="superscript"/>
            </w:rPr>
          </w:rPrChange>
        </w:rPr>
        <w:footnoteReference w:id="5"/>
      </w:r>
      <w:r>
        <w:rPr>
          <w:sz w:val="24"/>
          <w:szCs w:val="24"/>
        </w:rPr>
        <w:t xml:space="preserve">  Too much perhaps was being asked of the UN.  Indeed, one of the ironies of Bosnia was that the UN found itself deployed there at a time of war between 1992 and 1995 while NATO assumed the burden of policing the peace in Bosnia post Dayton.</w:t>
      </w:r>
    </w:p>
    <w:p w14:paraId="57882515"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1D037FAE"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 xml:space="preserve">The establishment of peace in Bosnia after December 1995 found the UN marginalised as an </w:t>
      </w:r>
      <w:r>
        <w:rPr>
          <w:i/>
          <w:iCs/>
          <w:sz w:val="24"/>
          <w:szCs w:val="24"/>
        </w:rPr>
        <w:t>ad hoc</w:t>
      </w:r>
      <w:r>
        <w:rPr>
          <w:sz w:val="24"/>
          <w:szCs w:val="24"/>
        </w:rPr>
        <w:t xml:space="preserve"> international arrangement was created with the Office of the High Representative (OHR) acting to co-ordinate the civilian efforts of the OSCE (election supervision) and the UN and its related agencies (return of refugees and policing) while NATO maintained overall general security.  It was a very different model from UNTAC in Cambodia where civilian and military aspects were united under the UN.  But the UN was given direct responsibility for the last remaining Serb controlled enclave in Croatia, eastern Slavonia.  In January 1996 the Security Council established the UN Transitional Administration for Eastern Slavonia, Baranja and western </w:t>
      </w:r>
      <w:proofErr w:type="spellStart"/>
      <w:r>
        <w:rPr>
          <w:sz w:val="24"/>
          <w:szCs w:val="24"/>
        </w:rPr>
        <w:t>Sirmium</w:t>
      </w:r>
      <w:proofErr w:type="spellEnd"/>
      <w:r>
        <w:rPr>
          <w:sz w:val="24"/>
          <w:szCs w:val="24"/>
        </w:rPr>
        <w:t xml:space="preserve"> (UNTAES) pending the territory’s eventual transfer to Croatia.  Civilian and military authorities were combined in a single, UN appointed commander and administrator.  UNTAES directly governed the enclave and ensured its eventual transfer to Croatia in 1998.</w:t>
      </w:r>
    </w:p>
    <w:p w14:paraId="2A460304"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5AEE6AE5"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0787C71C"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b/>
          <w:bCs/>
          <w:sz w:val="24"/>
          <w:szCs w:val="24"/>
        </w:rPr>
        <w:t>Direct Governance</w:t>
      </w:r>
    </w:p>
    <w:p w14:paraId="7EEE3092"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 xml:space="preserve">Perhaps because it was overshadowed by the much larger NATO led operation in Bosnia, UNTAES received comparatively little attention.  But it had been a success.   It was the only Serb enclave in Croatia that had not been taken by brute military force.  Moreover, the </w:t>
      </w:r>
      <w:proofErr w:type="gramStart"/>
      <w:r>
        <w:rPr>
          <w:sz w:val="24"/>
          <w:szCs w:val="24"/>
        </w:rPr>
        <w:t>two year</w:t>
      </w:r>
      <w:proofErr w:type="gramEnd"/>
      <w:r>
        <w:rPr>
          <w:sz w:val="24"/>
          <w:szCs w:val="24"/>
        </w:rPr>
        <w:t xml:space="preserve"> UN interregnum provided some assurance to the local Serb population about half of whom remained following the final transfer to direct Croatian rule.  The influence of the Yugoslav regime in eastern Slavonia had been minimised after the establishment of </w:t>
      </w:r>
      <w:proofErr w:type="gramStart"/>
      <w:r>
        <w:rPr>
          <w:sz w:val="24"/>
          <w:szCs w:val="24"/>
        </w:rPr>
        <w:t>UNTAES</w:t>
      </w:r>
      <w:proofErr w:type="gramEnd"/>
      <w:r>
        <w:rPr>
          <w:sz w:val="24"/>
          <w:szCs w:val="24"/>
        </w:rPr>
        <w:t xml:space="preserve"> and the UN had succeeded in winning the trust of </w:t>
      </w:r>
      <w:proofErr w:type="gramStart"/>
      <w:r>
        <w:rPr>
          <w:sz w:val="24"/>
          <w:szCs w:val="24"/>
        </w:rPr>
        <w:t>the majority of</w:t>
      </w:r>
      <w:proofErr w:type="gramEnd"/>
      <w:r>
        <w:rPr>
          <w:sz w:val="24"/>
          <w:szCs w:val="24"/>
        </w:rPr>
        <w:t xml:space="preserve"> the local population.  The political space had been provided for others, such as the OSCE and the EU, to establish social </w:t>
      </w:r>
      <w:r>
        <w:rPr>
          <w:sz w:val="24"/>
          <w:szCs w:val="24"/>
        </w:rPr>
        <w:lastRenderedPageBreak/>
        <w:t>and economic programmes which gave some hope for both the local Serb population and for those Croat refugees who had been so brutally expelled by Serb paramilitary forces in 1991.</w:t>
      </w:r>
    </w:p>
    <w:p w14:paraId="12CA421C"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7456E364"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The reasons for peacekeeping’s shortcomings had been many. The UN itself ordered a major reappraisal of peacekeeping, known as the Brahimi report, which appeared in August this year.</w:t>
      </w:r>
      <w:r w:rsidRPr="00BA0532">
        <w:rPr>
          <w:rStyle w:val="Funotenzeichen"/>
          <w:rPrChange w:id="10" w:author="Simon Brandstätter" w:date="2025-11-04T17:15:00Z" w16du:dateUtc="2025-11-04T16:15:00Z">
            <w:rPr>
              <w:sz w:val="24"/>
              <w:szCs w:val="24"/>
              <w:vertAlign w:val="superscript"/>
            </w:rPr>
          </w:rPrChange>
        </w:rPr>
        <w:footnoteReference w:id="6"/>
      </w:r>
      <w:r>
        <w:rPr>
          <w:sz w:val="24"/>
          <w:szCs w:val="24"/>
        </w:rPr>
        <w:t xml:space="preserve">  That report, which has won wide support from the 189 member states of the UN, concluded that three conditions were vital for UN intervention - political support, rapid deployment with a robust force posture and a sound peace-building strategy.  The UN had also fallen short of expectations in Somalia, Bosnia and even Cambodia because of a false political modesty or </w:t>
      </w:r>
      <w:proofErr w:type="gramStart"/>
      <w:r>
        <w:rPr>
          <w:sz w:val="24"/>
          <w:szCs w:val="24"/>
        </w:rPr>
        <w:t>shyness,  adopting</w:t>
      </w:r>
      <w:proofErr w:type="gramEnd"/>
      <w:r>
        <w:rPr>
          <w:sz w:val="24"/>
          <w:szCs w:val="24"/>
        </w:rPr>
        <w:t xml:space="preserve"> a posture which from the beginning undermined the potential success of the operation.</w:t>
      </w:r>
    </w:p>
    <w:p w14:paraId="445E6E83"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75C262BD"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To avoid being undermined, the UN must deploy decisively and establish a centre of gravity around which local individuals and institutions can coalesce.  This is essential if warlords and other hostile elements are to be sidelined.  This implies that the UN claims jurisdiction over the entire territory and ought to deploy throughout it if it can until the establishment of a legitimately determined, indigenous leadership.  This overall political framework is essential for the successful implementation of a mission.</w:t>
      </w:r>
    </w:p>
    <w:p w14:paraId="3D52F3FB"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3266BFD2"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roofErr w:type="gramStart"/>
      <w:r>
        <w:rPr>
          <w:sz w:val="24"/>
          <w:szCs w:val="24"/>
        </w:rPr>
        <w:t>In the course of</w:t>
      </w:r>
      <w:proofErr w:type="gramEnd"/>
      <w:r>
        <w:rPr>
          <w:sz w:val="24"/>
          <w:szCs w:val="24"/>
        </w:rPr>
        <w:t xml:space="preserve"> the 1990s the debate on humanitarian intervention has proceeded at considerable pace prompted in sharp measure by the ferocity of many unfolding conflicts and by the stark fact that they were conducted within the borders of nation states.  In his keynote speech in Chicago on 22 April 1999, the Prime Minister Tony Blair said that the “most pressing foreign policy problem we face is to identify the circumstances in which we should get involved in other people’s conflicts”.  In September 1999 the Secretary-General in his address to the General Assembly made a powerful call on Member States to unite in the pursuit of more effective policies to stop organised mass murder and egregious violations of human rights.  In a telling rejoinder Kofi Annan noted that, </w:t>
      </w:r>
      <w:proofErr w:type="gramStart"/>
      <w:r>
        <w:rPr>
          <w:sz w:val="24"/>
          <w:szCs w:val="24"/>
        </w:rPr>
        <w:t>“ no</w:t>
      </w:r>
      <w:proofErr w:type="gramEnd"/>
      <w:r>
        <w:rPr>
          <w:sz w:val="24"/>
          <w:szCs w:val="24"/>
        </w:rPr>
        <w:t xml:space="preserve"> legal principle - not even sovereignty - can shield crimes against humanity”.  The UK has responded to Kofi Annan’s call to develop thinking on humanitarian intervention and to move towards a series of guiding principles upon which the Security Council should</w:t>
      </w:r>
      <w:r>
        <w:rPr>
          <w:b/>
          <w:bCs/>
          <w:sz w:val="24"/>
          <w:szCs w:val="24"/>
        </w:rPr>
        <w:t xml:space="preserve"> </w:t>
      </w:r>
      <w:r>
        <w:rPr>
          <w:sz w:val="24"/>
          <w:szCs w:val="24"/>
        </w:rPr>
        <w:t>act</w:t>
      </w:r>
      <w:r>
        <w:rPr>
          <w:b/>
          <w:bCs/>
          <w:sz w:val="24"/>
          <w:szCs w:val="24"/>
        </w:rPr>
        <w:t xml:space="preserve"> </w:t>
      </w:r>
      <w:r>
        <w:rPr>
          <w:sz w:val="24"/>
          <w:szCs w:val="24"/>
        </w:rPr>
        <w:t>in which the sovereignty of the individual receives proper recognition.</w:t>
      </w:r>
    </w:p>
    <w:p w14:paraId="2AD9BAC0"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7DDE1AF5"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Considerable sensitivity still surrounds the issue, especially amongst developing world countries.  Intervention can take many forms and embraces a wide continuum of responses from diplomacy through sanctions and the arraignment of individual offenders to armed action.  The UN’s own reports on the Rwanda genocide of 1994 and the Srebrenica massacre of 1995 have underlined that where such crimes occur and peaceful attempts to halt them have been exhausted, the Security Council has a moral duty to act on behalf of the international community.  Armed intervention while remaining the option of last resort cannot, in the face of mass murder, be ruled out.</w:t>
      </w:r>
    </w:p>
    <w:p w14:paraId="4CBD2695"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 xml:space="preserve">That the debate on humanitarian intervention had moved suddenly in 1998-99 was due in no small measure to events in Kosovo and East Timor.  In both cases the collapse of old dictatorial regimes had laid bare the fact that peoples and territories had earlier been ruthlessly incorporated into states against their will and that only brute force kept them there.  In the case of Kosovo, the West was determined that ethnic cleansing and the displacement of tens of thousands of people </w:t>
      </w:r>
      <w:proofErr w:type="gramStart"/>
      <w:r>
        <w:rPr>
          <w:sz w:val="24"/>
          <w:szCs w:val="24"/>
        </w:rPr>
        <w:t>not go</w:t>
      </w:r>
      <w:proofErr w:type="gramEnd"/>
      <w:r>
        <w:rPr>
          <w:sz w:val="24"/>
          <w:szCs w:val="24"/>
        </w:rPr>
        <w:t xml:space="preserve"> unpunished as had appeared to happen in Bosnia between 1992-95.</w:t>
      </w:r>
    </w:p>
    <w:p w14:paraId="0F7E0C75"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71B08E50"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The background to the Kosovo crisis of early 1999 need not detain us here.</w:t>
      </w:r>
      <w:r w:rsidRPr="00BA0532">
        <w:rPr>
          <w:rStyle w:val="Funotenzeichen"/>
          <w:rPrChange w:id="12" w:author="Simon Brandstätter" w:date="2025-11-04T17:15:00Z" w16du:dateUtc="2025-11-04T16:15:00Z">
            <w:rPr>
              <w:sz w:val="24"/>
              <w:szCs w:val="24"/>
              <w:vertAlign w:val="superscript"/>
            </w:rPr>
          </w:rPrChange>
        </w:rPr>
        <w:footnoteReference w:id="7"/>
      </w:r>
      <w:r>
        <w:rPr>
          <w:sz w:val="24"/>
          <w:szCs w:val="24"/>
        </w:rPr>
        <w:t xml:space="preserve">  Following the </w:t>
      </w:r>
      <w:r>
        <w:rPr>
          <w:sz w:val="24"/>
          <w:szCs w:val="24"/>
        </w:rPr>
        <w:lastRenderedPageBreak/>
        <w:t xml:space="preserve">successful NATO air campaign, Yugoslav forces withdrew from Kosovo.  In June 1999 Security Council Resolution 1244 authorised forces from the NATO states to take control of Kosovo and to work alongside the UN administration created to govern the province.  It is interesting to note that it was the UN which was given direct responsibility for governance and not an </w:t>
      </w:r>
      <w:r>
        <w:rPr>
          <w:i/>
          <w:iCs/>
          <w:sz w:val="24"/>
          <w:szCs w:val="24"/>
        </w:rPr>
        <w:t>ad hoc</w:t>
      </w:r>
      <w:r>
        <w:rPr>
          <w:sz w:val="24"/>
          <w:szCs w:val="24"/>
        </w:rPr>
        <w:t xml:space="preserve"> office such as the OHR in Bosnia after Dayton. The resolution established an interim administration - UNMIK - leaving the end state of Kosovo undetermined.  The sovereignty of the Federal Republic of Yugoslavia (FRY) is on the one hand reaffirmed but at the same time suspended by empowering the UN with the status of a </w:t>
      </w:r>
      <w:proofErr w:type="spellStart"/>
      <w:r>
        <w:rPr>
          <w:sz w:val="24"/>
          <w:szCs w:val="24"/>
        </w:rPr>
        <w:t>quasi government</w:t>
      </w:r>
      <w:proofErr w:type="spellEnd"/>
      <w:r>
        <w:rPr>
          <w:sz w:val="24"/>
          <w:szCs w:val="24"/>
        </w:rPr>
        <w:t>.  By contrast the Security Council resolution mandating the UN administration in East Timor clearly spells out that the territory will become independent.  UNTAET draws its legitimacy from the 30 August referendum, where the population overwhelmingly opted for independence after a transition under UN administration.</w:t>
      </w:r>
      <w:r w:rsidRPr="00BA0532">
        <w:rPr>
          <w:rStyle w:val="Funotenzeichen"/>
          <w:rPrChange w:id="14" w:author="Simon Brandstätter" w:date="2025-11-04T17:15:00Z" w16du:dateUtc="2025-11-04T16:15:00Z">
            <w:rPr>
              <w:sz w:val="24"/>
              <w:szCs w:val="24"/>
              <w:vertAlign w:val="superscript"/>
            </w:rPr>
          </w:rPrChange>
        </w:rPr>
        <w:footnoteReference w:id="8"/>
      </w:r>
      <w:r>
        <w:rPr>
          <w:sz w:val="24"/>
          <w:szCs w:val="24"/>
        </w:rPr>
        <w:t xml:space="preserve">  Indeed, Indonesia, the former occupying power, endorsed the outcome of that referendum.</w:t>
      </w:r>
    </w:p>
    <w:p w14:paraId="1D507A8A"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3379D421"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 xml:space="preserve">This has led to some friction in Kosovo.  While the UN is seen in East Timor as the harbinger of independence, to many Kosovars the UN is at worst an extension of the FRY’s sovereignty.  The UN </w:t>
      </w:r>
      <w:proofErr w:type="gramStart"/>
      <w:r>
        <w:rPr>
          <w:sz w:val="24"/>
          <w:szCs w:val="24"/>
        </w:rPr>
        <w:t>has to</w:t>
      </w:r>
      <w:proofErr w:type="gramEnd"/>
      <w:r>
        <w:rPr>
          <w:sz w:val="24"/>
          <w:szCs w:val="24"/>
        </w:rPr>
        <w:t xml:space="preserve"> operate </w:t>
      </w:r>
      <w:proofErr w:type="gramStart"/>
      <w:r>
        <w:rPr>
          <w:sz w:val="24"/>
          <w:szCs w:val="24"/>
        </w:rPr>
        <w:t>on the basis of</w:t>
      </w:r>
      <w:proofErr w:type="gramEnd"/>
      <w:r>
        <w:rPr>
          <w:sz w:val="24"/>
          <w:szCs w:val="24"/>
        </w:rPr>
        <w:t xml:space="preserve"> a delicate tightrope act aware that the FRY still insists on its sovereignty and that most Kosovars would opt for independence if given the chance.  Moreover, while in East Timor there is an integrated military and political structure under the UN, in Kosovo the military under NATO command stand separate from the UN political structure led by the SRSG Bernard Kouchner.</w:t>
      </w:r>
    </w:p>
    <w:p w14:paraId="63CBC137"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1AC042E9"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5CD395A5"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b/>
          <w:bCs/>
          <w:sz w:val="24"/>
          <w:szCs w:val="24"/>
        </w:rPr>
        <w:t>Lessons of UN governance</w:t>
      </w:r>
    </w:p>
    <w:p w14:paraId="3C20D334"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 xml:space="preserve">The UN has effectively governed both territories for more than twelve months now and </w:t>
      </w:r>
      <w:proofErr w:type="gramStart"/>
      <w:r>
        <w:rPr>
          <w:sz w:val="24"/>
          <w:szCs w:val="24"/>
        </w:rPr>
        <w:t>on the basis of</w:t>
      </w:r>
      <w:proofErr w:type="gramEnd"/>
      <w:r>
        <w:rPr>
          <w:sz w:val="24"/>
          <w:szCs w:val="24"/>
        </w:rPr>
        <w:t xml:space="preserve"> that experience it is important to draw some lessons for the future.</w:t>
      </w:r>
    </w:p>
    <w:p w14:paraId="525339D2"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5DDE1583"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 xml:space="preserve">1) The UN has a limited capacity for governance.  As things stand there is a limited pool for recruitment to missions such as those in East Timor and Kosovo.  This is one of the problems that the Brahimi report has highlighted.  There is an urgent need for developing a standby capacity in this regard.  In </w:t>
      </w:r>
      <w:proofErr w:type="gramStart"/>
      <w:r>
        <w:rPr>
          <w:sz w:val="24"/>
          <w:szCs w:val="24"/>
        </w:rPr>
        <w:t>addition</w:t>
      </w:r>
      <w:proofErr w:type="gramEnd"/>
      <w:r>
        <w:rPr>
          <w:sz w:val="24"/>
          <w:szCs w:val="24"/>
        </w:rPr>
        <w:t xml:space="preserve"> the UN needs to modernise its own administrative structures to take </w:t>
      </w:r>
      <w:proofErr w:type="gramStart"/>
      <w:r>
        <w:rPr>
          <w:sz w:val="24"/>
          <w:szCs w:val="24"/>
        </w:rPr>
        <w:t>particular account</w:t>
      </w:r>
      <w:proofErr w:type="gramEnd"/>
      <w:r>
        <w:rPr>
          <w:sz w:val="24"/>
          <w:szCs w:val="24"/>
        </w:rPr>
        <w:t xml:space="preserve"> of the fact that increasingly it is running major field operations and not just headquarters buildings in New York and Geneva.</w:t>
      </w:r>
    </w:p>
    <w:p w14:paraId="2BEC35D5"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1FD9EDCB"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2) The UN needs to develop a model of good governance for situations such as those in East Timor and Kosovo.  The SRSG is comparable in many ways to the colonial Viceroy.  The involvement of local parties and structures is a prerequisite for the stability and sustainability of UN administration.  Early elections for a provisional assembly that could work alongside the UN are imperative.  Without such assemblies, the UN frequently ends up favouring particular parties.  The UN administration must be responsible not only to the Secretary-General and the Security Council in New York but also to the people that are directly administered.</w:t>
      </w:r>
    </w:p>
    <w:p w14:paraId="06844E2E"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1CB7EE7D"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 xml:space="preserve">3) Law and order </w:t>
      </w:r>
      <w:proofErr w:type="gramStart"/>
      <w:r>
        <w:rPr>
          <w:sz w:val="24"/>
          <w:szCs w:val="24"/>
        </w:rPr>
        <w:t>has</w:t>
      </w:r>
      <w:proofErr w:type="gramEnd"/>
      <w:r>
        <w:rPr>
          <w:sz w:val="24"/>
          <w:szCs w:val="24"/>
        </w:rPr>
        <w:t xml:space="preserve"> been a problem in past UN peace operations, for example, Cambodia.  However, if the UN is to govern obviously there </w:t>
      </w:r>
      <w:proofErr w:type="gramStart"/>
      <w:r>
        <w:rPr>
          <w:sz w:val="24"/>
          <w:szCs w:val="24"/>
        </w:rPr>
        <w:t>has to</w:t>
      </w:r>
      <w:proofErr w:type="gramEnd"/>
      <w:r>
        <w:rPr>
          <w:sz w:val="24"/>
          <w:szCs w:val="24"/>
        </w:rPr>
        <w:t xml:space="preserve"> be a legal system, a police force and detention facilities.  The whole question of UN policing needs rethinking - even now the UN police forces in Kosovo and East Timor are barely up to strength more than a year after these missions were established.  Problems of policing are compounded by problems regarding applicable law.  While the UN is never likely to have a standing international army, the case for an international police force of modest size is overwhelming.</w:t>
      </w:r>
    </w:p>
    <w:p w14:paraId="5744F897"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0C01A821"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lastRenderedPageBreak/>
        <w:t>4) International governance needs co-ordination.  Some things have worked remarkably well in East Timor and Kosovo and in particular the level of co-operation between the UN and international financial institutions such as the World Bank and the IMF.  The creation of five components, each led by a difference international organisation, has been less successful in Kosovo (in Kosovo the military component is run by NATO, the administration by the UN, capacity building by the OSCE, reconstruction by the EU and humanitarian issues by the UNHCR).</w:t>
      </w:r>
    </w:p>
    <w:p w14:paraId="369BA359"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0BD6715D"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3CC7C312"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b/>
          <w:bCs/>
          <w:sz w:val="24"/>
          <w:szCs w:val="24"/>
        </w:rPr>
        <w:t>Conclusions</w:t>
      </w:r>
    </w:p>
    <w:p w14:paraId="56934B8D"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 xml:space="preserve">What are the lessons that we can draw for the future?  Kosovo and East Timor raise very many questions.  Are we likely to see similar operations or is </w:t>
      </w:r>
      <w:proofErr w:type="gramStart"/>
      <w:r>
        <w:rPr>
          <w:sz w:val="24"/>
          <w:szCs w:val="24"/>
        </w:rPr>
        <w:t>it</w:t>
      </w:r>
      <w:proofErr w:type="gramEnd"/>
      <w:r>
        <w:rPr>
          <w:sz w:val="24"/>
          <w:szCs w:val="24"/>
        </w:rPr>
        <w:t xml:space="preserve"> historical coincidence that the UN has mounted two similar operations in the space of a </w:t>
      </w:r>
      <w:proofErr w:type="gramStart"/>
      <w:r>
        <w:rPr>
          <w:sz w:val="24"/>
          <w:szCs w:val="24"/>
        </w:rPr>
        <w:t>year ?</w:t>
      </w:r>
      <w:proofErr w:type="gramEnd"/>
    </w:p>
    <w:p w14:paraId="6BC63B09"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2ED3A7CE"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 xml:space="preserve">In the first place, Kosovo and East Timor constitute highly significant precedents which establish more firmly in international law the right to intervene on humanitarian grounds, exceptionally as in Kosovo even without an express mandate from the Security Council.  East Timor and Kosovo are unlikely to be isolated cases, although the international community will show a natural reluctance for a host of reasons to embark on similar actions elsewhere.  </w:t>
      </w:r>
      <w:proofErr w:type="gramStart"/>
      <w:r>
        <w:rPr>
          <w:sz w:val="24"/>
          <w:szCs w:val="24"/>
        </w:rPr>
        <w:t>It is clear that humanitarian</w:t>
      </w:r>
      <w:proofErr w:type="gramEnd"/>
      <w:r>
        <w:rPr>
          <w:sz w:val="24"/>
          <w:szCs w:val="24"/>
        </w:rPr>
        <w:t xml:space="preserve"> intervention is now established as an important feature of international relations.</w:t>
      </w:r>
    </w:p>
    <w:p w14:paraId="08D95418"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147BD06C"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Secondly, given a growing inclination to intervene, more thought needs to be given on an urgent basis to the question of international governance.  The immediate objective of intervention is to halt and, where possible, reverse, gross humanitarian abuses.  This might entail the return of refugees, the arrest and arraignment of individuals suspected of war crimes before the Intentional Criminal Court (ICC) and the disarming or expulsion of militias.  But it also involves the establishment of a provisional form of governance.  An intervention force cannot simply intervene and then withdraw.</w:t>
      </w:r>
    </w:p>
    <w:p w14:paraId="6CF77F72"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6DE12BCD"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 xml:space="preserve">Finally, there will remain a selectivity of intervention as many critics have pointed out </w:t>
      </w:r>
      <w:proofErr w:type="gramStart"/>
      <w:r>
        <w:rPr>
          <w:sz w:val="24"/>
          <w:szCs w:val="24"/>
        </w:rPr>
        <w:t>with regard to</w:t>
      </w:r>
      <w:proofErr w:type="gramEnd"/>
      <w:r>
        <w:rPr>
          <w:sz w:val="24"/>
          <w:szCs w:val="24"/>
        </w:rPr>
        <w:t xml:space="preserve"> </w:t>
      </w:r>
      <w:proofErr w:type="spellStart"/>
      <w:r>
        <w:rPr>
          <w:sz w:val="24"/>
          <w:szCs w:val="24"/>
        </w:rPr>
        <w:t>Chechenya</w:t>
      </w:r>
      <w:proofErr w:type="spellEnd"/>
      <w:r>
        <w:rPr>
          <w:sz w:val="24"/>
          <w:szCs w:val="24"/>
        </w:rPr>
        <w:t xml:space="preserve">.  But while critics have pointed quickly to the absence of response </w:t>
      </w:r>
      <w:proofErr w:type="gramStart"/>
      <w:r>
        <w:rPr>
          <w:sz w:val="24"/>
          <w:szCs w:val="24"/>
        </w:rPr>
        <w:t>with regard to</w:t>
      </w:r>
      <w:proofErr w:type="gramEnd"/>
      <w:r>
        <w:rPr>
          <w:sz w:val="24"/>
          <w:szCs w:val="24"/>
        </w:rPr>
        <w:t xml:space="preserve"> Chechnya, where the problem is most acute is </w:t>
      </w:r>
      <w:proofErr w:type="gramStart"/>
      <w:r>
        <w:rPr>
          <w:sz w:val="24"/>
          <w:szCs w:val="24"/>
        </w:rPr>
        <w:t>with regard to</w:t>
      </w:r>
      <w:proofErr w:type="gramEnd"/>
      <w:r>
        <w:rPr>
          <w:sz w:val="24"/>
          <w:szCs w:val="24"/>
        </w:rPr>
        <w:t xml:space="preserve"> Africa’s countless conflicts and wars.  Could one envisage operations </w:t>
      </w:r>
      <w:proofErr w:type="gramStart"/>
      <w:r>
        <w:rPr>
          <w:sz w:val="24"/>
          <w:szCs w:val="24"/>
        </w:rPr>
        <w:t>similar to</w:t>
      </w:r>
      <w:proofErr w:type="gramEnd"/>
      <w:r>
        <w:rPr>
          <w:sz w:val="24"/>
          <w:szCs w:val="24"/>
        </w:rPr>
        <w:t xml:space="preserve"> those in East Timor and Kosovo in Africa, for example?  </w:t>
      </w:r>
      <w:proofErr w:type="gramStart"/>
      <w:r>
        <w:rPr>
          <w:sz w:val="24"/>
          <w:szCs w:val="24"/>
        </w:rPr>
        <w:t>With the possible exception of</w:t>
      </w:r>
      <w:proofErr w:type="gramEnd"/>
      <w:r>
        <w:rPr>
          <w:sz w:val="24"/>
          <w:szCs w:val="24"/>
        </w:rPr>
        <w:t xml:space="preserve"> Cambodia under the Khmer Rouge, the largest genocide the world has seen since the Holocaust was in Rwanda in 1994.  As we meet the UN mission in Sierra Leone, UNAMSIL, teeters on the brink of meltdown because of inadequate international support.  While the debate on humanitarian intervention and international rule has developed apace in recent years, its practical application is long likely to remain uneven and selective.</w:t>
      </w:r>
    </w:p>
    <w:p w14:paraId="725A4D2F"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0D4FEBB4" w14:textId="77777777" w:rsidR="0024601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sz w:val="24"/>
          <w:szCs w:val="24"/>
        </w:rPr>
        <w:t>©21st Century Trust</w:t>
      </w:r>
    </w:p>
    <w:sectPr w:rsidR="00246010">
      <w:pgSz w:w="11910" w:h="16831"/>
      <w:pgMar w:top="720" w:right="1440" w:bottom="1134"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AE569" w14:textId="77777777" w:rsidR="00246010" w:rsidRDefault="00246010">
      <w:r>
        <w:separator/>
      </w:r>
    </w:p>
  </w:endnote>
  <w:endnote w:type="continuationSeparator" w:id="0">
    <w:p w14:paraId="771EADD3" w14:textId="77777777" w:rsidR="00246010" w:rsidRDefault="00246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63500" w14:textId="77777777" w:rsidR="00246010" w:rsidRDefault="00246010">
      <w:r>
        <w:separator/>
      </w:r>
    </w:p>
  </w:footnote>
  <w:footnote w:type="continuationSeparator" w:id="0">
    <w:p w14:paraId="1FFC8603" w14:textId="77777777" w:rsidR="00246010" w:rsidRDefault="00246010">
      <w:r>
        <w:continuationSeparator/>
      </w:r>
    </w:p>
  </w:footnote>
  <w:footnote w:id="1">
    <w:p w14:paraId="3E85009A"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BA0532">
        <w:rPr>
          <w:rStyle w:val="Funotenzeichen"/>
          <w:rPrChange w:id="1" w:author="Simon Brandstätter" w:date="2025-11-04T17:15:00Z" w16du:dateUtc="2025-11-04T16:15:00Z">
            <w:rPr>
              <w:sz w:val="24"/>
              <w:szCs w:val="24"/>
              <w:vertAlign w:val="superscript"/>
            </w:rPr>
          </w:rPrChange>
        </w:rPr>
        <w:footnoteRef/>
      </w:r>
      <w:r>
        <w:t xml:space="preserve">Eric Hobsbawm, </w:t>
      </w:r>
      <w:r>
        <w:rPr>
          <w:i/>
          <w:iCs/>
        </w:rPr>
        <w:t xml:space="preserve">Age of Extremes: A Short History of the Twentieth Century, </w:t>
      </w:r>
      <w:r>
        <w:t>London, 1997.</w:t>
      </w:r>
    </w:p>
  </w:footnote>
  <w:footnote w:id="2">
    <w:p w14:paraId="0F74DD01"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BA0532">
        <w:rPr>
          <w:rStyle w:val="Funotenzeichen"/>
          <w:rPrChange w:id="3" w:author="Simon Brandstätter" w:date="2025-11-04T17:15:00Z" w16du:dateUtc="2025-11-04T16:15:00Z">
            <w:rPr>
              <w:sz w:val="24"/>
              <w:szCs w:val="24"/>
              <w:vertAlign w:val="superscript"/>
            </w:rPr>
          </w:rPrChange>
        </w:rPr>
        <w:footnoteRef/>
      </w:r>
      <w:r>
        <w:t xml:space="preserve">Boutros-Boutros Ghali, </w:t>
      </w:r>
      <w:r>
        <w:rPr>
          <w:i/>
          <w:iCs/>
        </w:rPr>
        <w:t xml:space="preserve">An Agenda for Peace, </w:t>
      </w:r>
      <w:r>
        <w:t>United Nations</w:t>
      </w:r>
      <w:r>
        <w:rPr>
          <w:i/>
          <w:iCs/>
        </w:rPr>
        <w:t xml:space="preserve">. </w:t>
      </w:r>
      <w:r>
        <w:t xml:space="preserve">New York, 1992. </w:t>
      </w:r>
    </w:p>
  </w:footnote>
  <w:footnote w:id="3">
    <w:p w14:paraId="114F26AA"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BA0532">
        <w:rPr>
          <w:rStyle w:val="Funotenzeichen"/>
          <w:rPrChange w:id="5" w:author="Simon Brandstätter" w:date="2025-11-04T17:15:00Z" w16du:dateUtc="2025-11-04T16:15:00Z">
            <w:rPr>
              <w:sz w:val="24"/>
              <w:szCs w:val="24"/>
              <w:vertAlign w:val="superscript"/>
            </w:rPr>
          </w:rPrChange>
        </w:rPr>
        <w:footnoteRef/>
      </w:r>
      <w:r>
        <w:t xml:space="preserve">Erwin A. Schmidl, “The International Operation in Albania, 1913-14, </w:t>
      </w:r>
      <w:r>
        <w:rPr>
          <w:i/>
          <w:iCs/>
        </w:rPr>
        <w:t>International Peacekeeping</w:t>
      </w:r>
      <w:r>
        <w:t>, Vol.6, No. 3, Autumn 1999, pp. 1-10.</w:t>
      </w:r>
    </w:p>
  </w:footnote>
  <w:footnote w:id="4">
    <w:p w14:paraId="248AFD2F" w14:textId="77777777" w:rsidR="00000000" w:rsidRDefault="00000000">
      <w:pPr>
        <w:pStyle w:val="Footnote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BA0532">
        <w:rPr>
          <w:rStyle w:val="Funotenzeichen"/>
          <w:rPrChange w:id="7" w:author="Simon Brandstätter" w:date="2025-11-04T17:15:00Z" w16du:dateUtc="2025-11-04T16:15:00Z">
            <w:rPr>
              <w:vertAlign w:val="superscript"/>
            </w:rPr>
          </w:rPrChange>
        </w:rPr>
        <w:footnoteRef/>
      </w:r>
      <w:r>
        <w:rPr>
          <w:sz w:val="20"/>
          <w:szCs w:val="20"/>
        </w:rPr>
        <w:t xml:space="preserve">See Rosalyn Higgins, </w:t>
      </w:r>
      <w:r>
        <w:rPr>
          <w:i/>
          <w:iCs/>
          <w:sz w:val="20"/>
          <w:szCs w:val="20"/>
        </w:rPr>
        <w:t xml:space="preserve">United Nations </w:t>
      </w:r>
      <w:proofErr w:type="spellStart"/>
      <w:r>
        <w:rPr>
          <w:i/>
          <w:iCs/>
          <w:sz w:val="20"/>
          <w:szCs w:val="20"/>
        </w:rPr>
        <w:t>Peackeeping</w:t>
      </w:r>
      <w:proofErr w:type="spellEnd"/>
      <w:r>
        <w:rPr>
          <w:i/>
          <w:iCs/>
          <w:sz w:val="20"/>
          <w:szCs w:val="20"/>
        </w:rPr>
        <w:t xml:space="preserve"> 1946-67, </w:t>
      </w:r>
      <w:r>
        <w:rPr>
          <w:sz w:val="20"/>
          <w:szCs w:val="20"/>
        </w:rPr>
        <w:t xml:space="preserve">vol 2, 1970; On ONUC see Conor Cruise O’Brien, </w:t>
      </w:r>
      <w:r>
        <w:rPr>
          <w:i/>
          <w:iCs/>
          <w:sz w:val="20"/>
          <w:szCs w:val="20"/>
        </w:rPr>
        <w:t>To Katanga and Back</w:t>
      </w:r>
      <w:r>
        <w:rPr>
          <w:sz w:val="20"/>
          <w:szCs w:val="20"/>
        </w:rPr>
        <w:t xml:space="preserve"> and Alan James, </w:t>
      </w:r>
      <w:r>
        <w:rPr>
          <w:i/>
          <w:iCs/>
          <w:sz w:val="20"/>
          <w:szCs w:val="20"/>
        </w:rPr>
        <w:t xml:space="preserve">Britain and the Congo Crisis, </w:t>
      </w:r>
      <w:r>
        <w:rPr>
          <w:sz w:val="20"/>
          <w:szCs w:val="20"/>
        </w:rPr>
        <w:t>New York</w:t>
      </w:r>
      <w:r>
        <w:rPr>
          <w:i/>
          <w:iCs/>
          <w:sz w:val="20"/>
          <w:szCs w:val="20"/>
        </w:rPr>
        <w:t xml:space="preserve">, </w:t>
      </w:r>
      <w:r>
        <w:rPr>
          <w:sz w:val="20"/>
          <w:szCs w:val="20"/>
        </w:rPr>
        <w:t>1996.</w:t>
      </w:r>
    </w:p>
  </w:footnote>
  <w:footnote w:id="5">
    <w:p w14:paraId="031FBB1C" w14:textId="77777777" w:rsidR="00000000" w:rsidRDefault="00000000">
      <w:pPr>
        <w:pStyle w:val="Footnote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BA0532">
        <w:rPr>
          <w:rStyle w:val="Funotenzeichen"/>
          <w:rPrChange w:id="9" w:author="Simon Brandstätter" w:date="2025-11-04T17:15:00Z" w16du:dateUtc="2025-11-04T16:15:00Z">
            <w:rPr>
              <w:vertAlign w:val="superscript"/>
            </w:rPr>
          </w:rPrChange>
        </w:rPr>
        <w:footnoteRef/>
      </w:r>
      <w:r>
        <w:rPr>
          <w:sz w:val="20"/>
          <w:szCs w:val="20"/>
        </w:rPr>
        <w:t xml:space="preserve">On the difficulties of operating in these environments see </w:t>
      </w:r>
      <w:r>
        <w:rPr>
          <w:i/>
          <w:iCs/>
          <w:sz w:val="20"/>
          <w:szCs w:val="20"/>
        </w:rPr>
        <w:t>inter alia,</w:t>
      </w:r>
      <w:r>
        <w:rPr>
          <w:sz w:val="20"/>
          <w:szCs w:val="20"/>
        </w:rPr>
        <w:t xml:space="preserve"> John Mackinlay, “Defining warlords</w:t>
      </w:r>
      <w:proofErr w:type="gramStart"/>
      <w:r>
        <w:rPr>
          <w:sz w:val="20"/>
          <w:szCs w:val="20"/>
        </w:rPr>
        <w:t xml:space="preserve">”,  </w:t>
      </w:r>
      <w:r>
        <w:rPr>
          <w:i/>
          <w:iCs/>
          <w:sz w:val="20"/>
          <w:szCs w:val="20"/>
        </w:rPr>
        <w:t>International</w:t>
      </w:r>
      <w:proofErr w:type="gramEnd"/>
      <w:r>
        <w:rPr>
          <w:i/>
          <w:iCs/>
          <w:sz w:val="20"/>
          <w:szCs w:val="20"/>
        </w:rPr>
        <w:t xml:space="preserve"> Peacekeeping</w:t>
      </w:r>
      <w:r>
        <w:rPr>
          <w:sz w:val="20"/>
          <w:szCs w:val="20"/>
        </w:rPr>
        <w:t>, Vol. 7, No. 1, Spring 2000, pages 48-62.</w:t>
      </w:r>
    </w:p>
  </w:footnote>
  <w:footnote w:id="6">
    <w:p w14:paraId="7359DC23" w14:textId="77777777" w:rsidR="00000000" w:rsidRDefault="00000000">
      <w:pPr>
        <w:pStyle w:val="Footnote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BA0532">
        <w:rPr>
          <w:rStyle w:val="Funotenzeichen"/>
          <w:rPrChange w:id="11" w:author="Simon Brandstätter" w:date="2025-11-04T17:15:00Z" w16du:dateUtc="2025-11-04T16:15:00Z">
            <w:rPr>
              <w:vertAlign w:val="superscript"/>
            </w:rPr>
          </w:rPrChange>
        </w:rPr>
        <w:footnoteRef/>
      </w:r>
      <w:r>
        <w:rPr>
          <w:sz w:val="20"/>
          <w:szCs w:val="20"/>
        </w:rPr>
        <w:t xml:space="preserve">See </w:t>
      </w:r>
      <w:proofErr w:type="gramStart"/>
      <w:r>
        <w:rPr>
          <w:sz w:val="20"/>
          <w:szCs w:val="20"/>
        </w:rPr>
        <w:t>“ Lessons</w:t>
      </w:r>
      <w:proofErr w:type="gramEnd"/>
      <w:r>
        <w:rPr>
          <w:sz w:val="20"/>
          <w:szCs w:val="20"/>
        </w:rPr>
        <w:t xml:space="preserve"> of UN peacekeeping”, </w:t>
      </w:r>
      <w:r>
        <w:rPr>
          <w:i/>
          <w:iCs/>
          <w:sz w:val="20"/>
          <w:szCs w:val="20"/>
        </w:rPr>
        <w:t>Financial Times</w:t>
      </w:r>
      <w:r>
        <w:rPr>
          <w:sz w:val="20"/>
          <w:szCs w:val="20"/>
        </w:rPr>
        <w:t>, August 24, 2000. Full report is available on UN website.</w:t>
      </w:r>
    </w:p>
  </w:footnote>
  <w:footnote w:id="7">
    <w:p w14:paraId="595F290C" w14:textId="77777777" w:rsidR="00000000" w:rsidRDefault="00000000">
      <w:pPr>
        <w:pStyle w:val="Footnote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BA0532">
        <w:rPr>
          <w:rStyle w:val="Funotenzeichen"/>
          <w:rPrChange w:id="13" w:author="Simon Brandstätter" w:date="2025-11-04T17:15:00Z" w16du:dateUtc="2025-11-04T16:15:00Z">
            <w:rPr>
              <w:vertAlign w:val="superscript"/>
            </w:rPr>
          </w:rPrChange>
        </w:rPr>
        <w:footnoteRef/>
      </w:r>
      <w:r>
        <w:rPr>
          <w:sz w:val="20"/>
          <w:szCs w:val="20"/>
        </w:rPr>
        <w:t xml:space="preserve">James Rubin, the spokesperson of the US State Department has recently given his version in an extended article in the </w:t>
      </w:r>
      <w:r>
        <w:rPr>
          <w:i/>
          <w:iCs/>
          <w:sz w:val="20"/>
          <w:szCs w:val="20"/>
        </w:rPr>
        <w:t>Financial Times</w:t>
      </w:r>
      <w:r>
        <w:rPr>
          <w:sz w:val="20"/>
          <w:szCs w:val="20"/>
        </w:rPr>
        <w:t>, 30 September 2000.</w:t>
      </w:r>
    </w:p>
  </w:footnote>
  <w:footnote w:id="8">
    <w:p w14:paraId="32B6855B"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BA0532">
        <w:rPr>
          <w:rStyle w:val="Funotenzeichen"/>
          <w:rPrChange w:id="15" w:author="Simon Brandstätter" w:date="2025-11-04T17:15:00Z" w16du:dateUtc="2025-11-04T16:15:00Z">
            <w:rPr>
              <w:sz w:val="24"/>
              <w:szCs w:val="24"/>
              <w:vertAlign w:val="superscript"/>
            </w:rPr>
          </w:rPrChange>
        </w:rPr>
        <w:footnoteRef/>
      </w:r>
      <w:r>
        <w:t xml:space="preserve">For a critical account of UNTAET see Jarat Chopra, </w:t>
      </w:r>
      <w:proofErr w:type="gramStart"/>
      <w:r>
        <w:t>“ The</w:t>
      </w:r>
      <w:proofErr w:type="gramEnd"/>
      <w:r>
        <w:t xml:space="preserve"> UN’s Kingdom of East Timor”, </w:t>
      </w:r>
      <w:r>
        <w:rPr>
          <w:i/>
          <w:iCs/>
        </w:rPr>
        <w:t>Survival</w:t>
      </w:r>
      <w:r>
        <w:t>, Vol. 42, No. 3, Autumn 2000, pp. 27-40.</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mon Brandstätter">
    <w15:presenceInfo w15:providerId="AD" w15:userId="S::s.brandstaetter@conextra.at::7161708c-93a3-4053-ae97-172c39c80b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0FC"/>
    <w:rsid w:val="001A10FC"/>
    <w:rsid w:val="00246010"/>
    <w:rsid w:val="00BA0532"/>
    <w:rsid w:val="00BF68D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15E484"/>
  <w14:defaultImageDpi w14:val="0"/>
  <w15:docId w15:val="{1F9352E6-B6ED-4C75-8932-4F85CC66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AT" w:eastAsia="de-A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autoSpaceDE w:val="0"/>
      <w:autoSpaceDN w:val="0"/>
      <w:adjustRightInd w:val="0"/>
      <w:spacing w:after="0" w:line="240" w:lineRule="auto"/>
    </w:pPr>
    <w:rPr>
      <w:rFonts w:ascii="Times New Roman" w:hAnsi="Times New Roman" w:cs="Times New Roman"/>
      <w:kern w:val="0"/>
      <w:sz w:val="20"/>
      <w:szCs w:val="20"/>
      <w:lang w:val="en-GB"/>
    </w:rPr>
  </w:style>
  <w:style w:type="paragraph" w:styleId="berschrift1">
    <w:name w:val="heading 1"/>
    <w:basedOn w:val="Standard"/>
    <w:next w:val="Standard"/>
    <w:link w:val="berschrift1Zchn"/>
    <w:uiPriority w:val="99"/>
    <w:qFormat/>
    <w:pPr>
      <w:outlineLvl w:val="0"/>
    </w:pPr>
    <w:rPr>
      <w:sz w:val="28"/>
      <w:szCs w:val="28"/>
    </w:rPr>
  </w:style>
  <w:style w:type="paragraph" w:styleId="berschrift2">
    <w:name w:val="heading 2"/>
    <w:basedOn w:val="Standard"/>
    <w:next w:val="Standard"/>
    <w:link w:val="berschrift2Zchn"/>
    <w:uiPriority w:val="99"/>
    <w:qFormat/>
    <w:pPr>
      <w:outlineLvl w:val="1"/>
    </w:pPr>
    <w:rPr>
      <w:sz w:val="28"/>
      <w:szCs w:val="28"/>
    </w:rPr>
  </w:style>
  <w:style w:type="paragraph" w:styleId="berschrift3">
    <w:name w:val="heading 3"/>
    <w:basedOn w:val="Standard"/>
    <w:next w:val="Standard"/>
    <w:link w:val="berschrift3Zchn"/>
    <w:uiPriority w:val="99"/>
    <w:qFormat/>
    <w:pPr>
      <w:outlineLvl w:val="2"/>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ootnoteRef">
    <w:name w:val="Footnote Ref"/>
    <w:uiPriority w:val="99"/>
  </w:style>
  <w:style w:type="paragraph" w:customStyle="1" w:styleId="FootnoteTe">
    <w:name w:val="Footnote Te"/>
    <w:uiPriority w:val="99"/>
    <w:pPr>
      <w:widowControl w:val="0"/>
      <w:autoSpaceDE w:val="0"/>
      <w:autoSpaceDN w:val="0"/>
      <w:adjustRightInd w:val="0"/>
      <w:spacing w:after="0" w:line="240" w:lineRule="auto"/>
    </w:pPr>
    <w:rPr>
      <w:rFonts w:ascii="Times New Roman" w:hAnsi="Times New Roman" w:cs="Times New Roman"/>
      <w:kern w:val="0"/>
      <w:lang w:val="en-GB"/>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kern w:val="32"/>
      <w:sz w:val="32"/>
      <w:szCs w:val="32"/>
      <w:lang w:val="en-GB"/>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b/>
      <w:bCs/>
      <w:i/>
      <w:iCs/>
      <w:kern w:val="0"/>
      <w:sz w:val="28"/>
      <w:szCs w:val="28"/>
      <w:lang w:val="en-GB"/>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b/>
      <w:bCs/>
      <w:kern w:val="0"/>
      <w:sz w:val="26"/>
      <w:szCs w:val="26"/>
      <w:lang w:val="en-GB"/>
    </w:rPr>
  </w:style>
  <w:style w:type="character" w:customStyle="1" w:styleId="DefaultPara">
    <w:name w:val="Default Para"/>
    <w:uiPriority w:val="99"/>
  </w:style>
  <w:style w:type="paragraph" w:styleId="Textkrper">
    <w:name w:val="Body Text"/>
    <w:basedOn w:val="Standard"/>
    <w:link w:val="TextkrperZchn"/>
    <w:uiPriority w:val="99"/>
    <w:rPr>
      <w:sz w:val="24"/>
      <w:szCs w:val="24"/>
    </w:rPr>
  </w:style>
  <w:style w:type="character" w:customStyle="1" w:styleId="TextkrperZchn">
    <w:name w:val="Textkörper Zchn"/>
    <w:basedOn w:val="Absatz-Standardschriftart"/>
    <w:link w:val="Textkrper"/>
    <w:uiPriority w:val="99"/>
    <w:semiHidden/>
    <w:rPr>
      <w:rFonts w:ascii="Times New Roman" w:hAnsi="Times New Roman" w:cs="Times New Roman"/>
      <w:kern w:val="0"/>
      <w:sz w:val="20"/>
      <w:szCs w:val="20"/>
      <w:lang w:val="en-GB"/>
    </w:rPr>
  </w:style>
  <w:style w:type="paragraph" w:styleId="Kopfzeile">
    <w:name w:val="header"/>
    <w:basedOn w:val="Standard"/>
    <w:link w:val="KopfzeileZchn"/>
    <w:uiPriority w:val="99"/>
    <w:pPr>
      <w:tabs>
        <w:tab w:val="left" w:pos="0"/>
        <w:tab w:val="center" w:pos="4152"/>
        <w:tab w:val="right" w:pos="8304"/>
        <w:tab w:val="left" w:pos="8640"/>
      </w:tabs>
    </w:pPr>
    <w:rPr>
      <w:sz w:val="24"/>
      <w:szCs w:val="24"/>
    </w:rPr>
  </w:style>
  <w:style w:type="character" w:customStyle="1" w:styleId="KopfzeileZchn">
    <w:name w:val="Kopfzeile Zchn"/>
    <w:basedOn w:val="Absatz-Standardschriftart"/>
    <w:link w:val="Kopfzeile"/>
    <w:uiPriority w:val="99"/>
    <w:semiHidden/>
    <w:rPr>
      <w:rFonts w:ascii="Times New Roman" w:hAnsi="Times New Roman" w:cs="Times New Roman"/>
      <w:kern w:val="0"/>
      <w:sz w:val="20"/>
      <w:szCs w:val="20"/>
      <w:lang w:val="en-GB"/>
    </w:rPr>
  </w:style>
  <w:style w:type="character" w:styleId="Seitenzahl">
    <w:name w:val="page number"/>
    <w:basedOn w:val="Absatz-Standardschriftart"/>
    <w:uiPriority w:val="99"/>
  </w:style>
  <w:style w:type="character" w:styleId="Endnotenzeichen">
    <w:name w:val="endnote reference"/>
    <w:basedOn w:val="Absatz-Standardschriftart"/>
    <w:uiPriority w:val="99"/>
    <w:semiHidden/>
    <w:unhideWhenUsed/>
    <w:rsid w:val="00BA0532"/>
    <w:rPr>
      <w:vertAlign w:val="superscript"/>
    </w:rPr>
  </w:style>
  <w:style w:type="character" w:styleId="Funotenzeichen">
    <w:name w:val="footnote reference"/>
    <w:basedOn w:val="Absatz-Standardschriftart"/>
    <w:uiPriority w:val="99"/>
    <w:semiHidden/>
    <w:unhideWhenUsed/>
    <w:rsid w:val="00BA0532"/>
    <w:rPr>
      <w:vertAlign w:val="superscript"/>
    </w:rPr>
  </w:style>
  <w:style w:type="paragraph" w:styleId="berarbeitung">
    <w:name w:val="Revision"/>
    <w:hidden/>
    <w:uiPriority w:val="99"/>
    <w:semiHidden/>
    <w:rsid w:val="00BA0532"/>
    <w:pPr>
      <w:spacing w:after="0" w:line="240" w:lineRule="auto"/>
    </w:pPr>
    <w:rPr>
      <w:rFonts w:ascii="Times New Roman" w:hAnsi="Times New Roman" w:cs="Times New Roman"/>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3404</Words>
  <Characters>21446</Characters>
  <Application>Microsoft Office Word</Application>
  <DocSecurity>0</DocSecurity>
  <Lines>178</Lines>
  <Paragraphs>49</Paragraphs>
  <ScaleCrop>false</ScaleCrop>
  <Company/>
  <LinksUpToDate>false</LinksUpToDate>
  <CharactersWithSpaces>24801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Brandstätter</dc:creator>
  <cp:keywords/>
  <dc:description/>
  <cp:lastModifiedBy>Simon Brandstätter</cp:lastModifiedBy>
  <cp:revision>2</cp:revision>
  <dcterms:created xsi:type="dcterms:W3CDTF">2025-11-04T16:15:00Z</dcterms:created>
  <dcterms:modified xsi:type="dcterms:W3CDTF">2025-11-04T16:15:00Z</dcterms:modified>
</cp:coreProperties>
</file>